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7D" w:rsidRDefault="007A367D" w:rsidP="007A367D">
      <w:pPr>
        <w:jc w:val="right"/>
      </w:pPr>
      <w:r>
        <w:rPr>
          <w:noProof/>
        </w:rPr>
        <w:drawing>
          <wp:inline distT="0" distB="0" distL="0" distR="0">
            <wp:extent cx="885825" cy="390525"/>
            <wp:effectExtent l="19050" t="0" r="9525" b="0"/>
            <wp:docPr id="9" name="Imagen 2" descr="Logo AVINA 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VINA hi-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3975" cy="428625"/>
            <wp:effectExtent l="19050" t="0" r="9525" b="0"/>
            <wp:docPr id="10" name="Imagen 3" descr="CARE%20transparente%20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RE%20transparente%20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7D" w:rsidRDefault="007A367D" w:rsidP="007A367D">
      <w:r>
        <w:rPr>
          <w:noProof/>
        </w:rPr>
        <w:pict>
          <v:rect id="_x0000_s1034" style="position:absolute;margin-left:-15.3pt;margin-top:6.4pt;width:489.75pt;height:68.8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backdepth="1in" type="perspective"/>
            <v:textbox>
              <w:txbxContent>
                <w:p w:rsidR="007A367D" w:rsidRPr="009078E6" w:rsidRDefault="007A367D" w:rsidP="007A367D">
                  <w:pPr>
                    <w:jc w:val="center"/>
                    <w:rPr>
                      <w:rFonts w:ascii="Harlow Solid Italic" w:hAnsi="Harlow Solid Italic"/>
                      <w:sz w:val="40"/>
                      <w:szCs w:val="40"/>
                      <w:lang w:val="es-MX"/>
                    </w:rPr>
                  </w:pPr>
                  <w:r w:rsidRPr="009078E6">
                    <w:rPr>
                      <w:rFonts w:ascii="Harlow Solid Italic" w:hAnsi="Harlow Solid Italic"/>
                      <w:sz w:val="40"/>
                      <w:szCs w:val="40"/>
                      <w:lang w:val="es-MX"/>
                    </w:rPr>
                    <w:t>Promoviendo la Gestión Comunitaria del Agua en El Ecuador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-28.8pt;margin-top:92.65pt;width:245.25pt;height:195.75pt;z-index:251660288" strokecolor="white [3212]">
            <v:textbox style="mso-next-textbox:#_x0000_s1033">
              <w:txbxContent>
                <w:p w:rsidR="007A367D" w:rsidRDefault="007A367D" w:rsidP="007A367D">
                  <w:r w:rsidRPr="00FA6883">
                    <w:rPr>
                      <w:noProof/>
                    </w:rPr>
                    <w:drawing>
                      <wp:inline distT="0" distB="0" distL="0" distR="0">
                        <wp:extent cx="2922270" cy="2396073"/>
                        <wp:effectExtent l="76200" t="19050" r="68580" b="42327"/>
                        <wp:docPr id="2" name="Imagen 2" descr="C:\Susy\PRESENTACIÓN FER Y PEDRO\MVC-312S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Picture 15" descr="C:\Susy\PRESENTACIÓN FER Y PEDRO\MVC-312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270" cy="23960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44450" dist="27940" dir="5400000" algn="ctr">
                                    <a:srgbClr val="000000">
                                      <a:alpha val="32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balanced" dir="t">
                                    <a:rot lat="0" lon="0" rev="8700000"/>
                                  </a:lightRig>
                                </a:scene3d>
                                <a:sp3d>
                                  <a:bevelT w="190500" h="381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DE0">
                    <w:rPr>
                      <w:noProof/>
                    </w:rPr>
                    <w:drawing>
                      <wp:inline distT="0" distB="0" distL="0" distR="0">
                        <wp:extent cx="2962275" cy="2428875"/>
                        <wp:effectExtent l="76200" t="19050" r="66675" b="28575"/>
                        <wp:docPr id="5" name="Imagen 2" descr="C:\Susy\PRESENTACIÓN FER Y PEDRO\MVC-312S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Picture 15" descr="C:\Susy\PRESENTACIÓN FER Y PEDRO\MVC-312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428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44450" dist="27940" dir="5400000" algn="ctr">
                                    <a:srgbClr val="000000">
                                      <a:alpha val="32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balanced" dir="t">
                                    <a:rot lat="0" lon="0" rev="8700000"/>
                                  </a:lightRig>
                                </a:scene3d>
                                <a:sp3d>
                                  <a:bevelT w="190500" h="381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A367D" w:rsidRPr="00FA6883" w:rsidRDefault="007A367D" w:rsidP="007A367D"/>
    <w:p w:rsidR="007A367D" w:rsidRPr="00FA6883" w:rsidRDefault="007A367D" w:rsidP="007A367D"/>
    <w:p w:rsidR="007A367D" w:rsidRPr="00FA6883" w:rsidRDefault="007A367D" w:rsidP="007A367D">
      <w:r>
        <w:rPr>
          <w:noProof/>
        </w:rPr>
        <w:pict>
          <v:rect id="_x0000_s1035" style="position:absolute;margin-left:216.45pt;margin-top:21.55pt;width:258pt;height:260.2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5">
              <w:txbxContent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  <w:r w:rsidRPr="00EC7B09"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Introducción:</w:t>
                  </w:r>
                  <w:r w:rsidRPr="00EC7B09"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En el sector agua y saneamiento a nivel rural,  en los últimos 30 años, de manera progresiva han ido surgiendo iniciativas sociales </w:t>
                  </w: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y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comunitarias para encargarse de los servicios de agua y saneamiento para las poblaciones ahí asentadas. Buena parte de estas iniciativas han surgido y/o contado con el soporte y apoyo de la cooperación internacional y en menor medida  de gobiernos locales y/o el estado central.</w:t>
                  </w: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En este contexto, se han constituido figuras locales denominadas Juntas Administradoras de Agua y Saneamiento, que en muchos de los casos han demostrado ser una solución real, concreta y eficaz para los mejorar el acceso a servicios de agua y saneamiento de las poblaciones rurales.</w:t>
                  </w: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A pesar de la informalidad en su constitución, estos operadores comunitarios han sobrevivido en el tiempo y son grupos permanentes que vienen dando una respuesta con alto contenido social.  En el Ecuador, no menos de 4 millones de personas acceden </w:t>
                  </w: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o tienen la esperanza de acceder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a agua y saneamiento </w:t>
                  </w: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 seguros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gracias a este importante pero </w:t>
                  </w: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aún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poco re</w:t>
                  </w: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conocido prestador de servicios comunitario.</w:t>
                  </w:r>
                </w:p>
                <w:p w:rsidR="007A367D" w:rsidRPr="00EC7B09" w:rsidRDefault="007A367D" w:rsidP="007A367D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</w:p>
    <w:p w:rsidR="007A367D" w:rsidRPr="00FA6883" w:rsidRDefault="007A367D" w:rsidP="007A367D"/>
    <w:p w:rsidR="007A367D" w:rsidRPr="00FA6883" w:rsidRDefault="007A367D" w:rsidP="007A367D"/>
    <w:p w:rsidR="007A367D" w:rsidRPr="00FA6883" w:rsidRDefault="007A367D" w:rsidP="007A367D"/>
    <w:p w:rsidR="007A367D" w:rsidRPr="00FA6883" w:rsidRDefault="007A367D" w:rsidP="007A367D"/>
    <w:p w:rsidR="007A367D" w:rsidRPr="00FA6883" w:rsidRDefault="007A367D" w:rsidP="007A367D"/>
    <w:p w:rsidR="007A367D" w:rsidRPr="00FA6883" w:rsidRDefault="007A367D" w:rsidP="007A367D"/>
    <w:p w:rsidR="007A367D" w:rsidRDefault="007A367D" w:rsidP="007A367D"/>
    <w:p w:rsidR="007A367D" w:rsidRDefault="007A367D" w:rsidP="007A367D">
      <w:r>
        <w:rPr>
          <w:noProof/>
        </w:rPr>
        <w:pict>
          <v:rect id="_x0000_s1038" style="position:absolute;margin-left:-15.3pt;margin-top:8.5pt;width:224.25pt;height:69.75pt;z-index:251665408" fillcolor="white [3201]" strokecolor="black [3200]" strokeweight="1pt">
            <v:stroke dashstyle="dash"/>
            <v:shadow color="#868686"/>
            <v:textbox>
              <w:txbxContent>
                <w:p w:rsidR="007A367D" w:rsidRPr="009E53F2" w:rsidRDefault="007A367D" w:rsidP="007A367D">
                  <w:pPr>
                    <w:jc w:val="center"/>
                    <w:rPr>
                      <w:i/>
                      <w:lang w:val="es-MX"/>
                    </w:rPr>
                  </w:pPr>
                  <w:r w:rsidRPr="009E53F2">
                    <w:rPr>
                      <w:i/>
                      <w:lang w:val="es-MX"/>
                    </w:rPr>
                    <w:t>El agua es un recurso natural esencial para la vida de las familias, sin ella no podemos vivir, por eso debemos cuidarla y reconocer sus Derechos como parte de la Pacha Mama.</w:t>
                  </w:r>
                </w:p>
              </w:txbxContent>
            </v:textbox>
          </v:rect>
        </w:pict>
      </w:r>
    </w:p>
    <w:p w:rsidR="007A367D" w:rsidRDefault="007A367D" w:rsidP="007A367D"/>
    <w:p w:rsidR="007A367D" w:rsidRDefault="007A367D" w:rsidP="007A367D"/>
    <w:p w:rsidR="007A367D" w:rsidRDefault="007A367D" w:rsidP="007A367D">
      <w:r>
        <w:rPr>
          <w:noProof/>
        </w:rPr>
        <w:pict>
          <v:rect id="_x0000_s1036" style="position:absolute;margin-left:216.45pt;margin-top:10.2pt;width:259.5pt;height:270.3pt;z-index:251663360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36">
              <w:txbxContent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La Alianza AVINA - CARE</w:t>
                  </w:r>
                  <w:r w:rsidRPr="00EC7B09"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:</w:t>
                  </w:r>
                  <w:r w:rsidRPr="00EC7B09"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</w:p>
                <w:p w:rsidR="007A367D" w:rsidRDefault="007A367D" w:rsidP="007A367D">
                  <w:p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La </w:t>
                  </w:r>
                  <w:r w:rsidRPr="00FA6883">
                    <w:rPr>
                      <w:rFonts w:ascii="Arial Narrow" w:eastAsia="Times New Roman" w:hAnsi="Arial Narrow" w:cs="Times New Roman"/>
                      <w:b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>Fundación AVINA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desde su compromiso de contribuir al desarrollo sostenib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le de América Latina, fomenta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la construcción de vínculos de confianza y alianzas fructíferas entre líderes sociale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s y empresariales, y articula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agendas de acción consensuadas.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Su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promesa de valor en el tema de acceso al agua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es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: Fortalecer y difundir modelos de Gobernabilidad Democrática que mejoren el acceso al agua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en Latinoamérica y </w:t>
                  </w:r>
                  <w:r w:rsidRPr="00FA6883">
                    <w:rPr>
                      <w:rFonts w:ascii="Arial Narrow" w:eastAsia="Times New Roman" w:hAnsi="Arial Narrow" w:cs="Times New Roman"/>
                      <w:b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>CARE Internacional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en el marco de su estrategia regional de Gestión Integrada de los Recursos Hídricos, orientada a promover  el rol protagónico  del agua para la reducción de la pobreza en América Latina; unidas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institucionalmente 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reconocen el valor y el potencial de las Organizaciones</w:t>
                  </w:r>
                  <w:r>
                    <w:rPr>
                      <w:rFonts w:ascii="Times New Roman" w:hAnsi="Times New Roman"/>
                      <w:color w:val="000000"/>
                      <w:lang w:val="es-ES_tradnl"/>
                    </w:rPr>
                    <w:t xml:space="preserve"> 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Comunitarias prestadoras de servicios de agua y saneamiento, como actores claves del sector hídrico y los servicios del agua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en los países latinoamericanos.</w:t>
                  </w:r>
                </w:p>
                <w:p w:rsidR="007A367D" w:rsidRPr="00FA6883" w:rsidRDefault="007A367D" w:rsidP="007A367D">
                  <w:pPr>
                    <w:jc w:val="both"/>
                    <w:rPr>
                      <w:rFonts w:ascii="Times New Roman" w:hAnsi="Times New Roman"/>
                      <w:color w:val="000000"/>
                      <w:lang w:val="es-ES_tradn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La Alianza busca articularse con los sectores público, privado y comunitario para impulsar Programas y Proyectos en pos de fortalecer la gestión comunitaria del agua.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25.05pt;margin-top:7.2pt;width:240.75pt;height:195.75pt;z-index:251664384" strokecolor="white [3212]">
            <v:textbox style="mso-next-textbox:#_x0000_s1037">
              <w:txbxContent>
                <w:p w:rsidR="007A367D" w:rsidRDefault="007A367D" w:rsidP="007A367D">
                  <w:r>
                    <w:rPr>
                      <w:noProof/>
                    </w:rPr>
                    <w:drawing>
                      <wp:inline distT="0" distB="0" distL="0" distR="0">
                        <wp:extent cx="2922270" cy="4125558"/>
                        <wp:effectExtent l="19050" t="0" r="0" b="0"/>
                        <wp:docPr id="6" name="Imagen 7" descr="C:\Documents and Settings\MRodriguez\Escritorio\La  Minga - parte de la cultura loc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MRodriguez\Escritorio\La  Minga - parte de la cultura loc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270" cy="4125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DE0">
                    <w:rPr>
                      <w:noProof/>
                    </w:rPr>
                    <w:drawing>
                      <wp:inline distT="0" distB="0" distL="0" distR="0">
                        <wp:extent cx="2962275" cy="2428875"/>
                        <wp:effectExtent l="76200" t="19050" r="66675" b="28575"/>
                        <wp:docPr id="8" name="Imagen 2" descr="C:\Susy\PRESENTACIÓN FER Y PEDRO\MVC-312S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Picture 15" descr="C:\Susy\PRESENTACIÓN FER Y PEDRO\MVC-312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428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44450" dist="27940" dir="5400000" algn="ctr">
                                    <a:srgbClr val="000000">
                                      <a:alpha val="32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balanced" dir="t">
                                    <a:rot lat="0" lon="0" rev="8700000"/>
                                  </a:lightRig>
                                </a:scene3d>
                                <a:sp3d>
                                  <a:bevelT w="190500" h="381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A367D" w:rsidRDefault="007A367D" w:rsidP="007A367D"/>
    <w:p w:rsidR="007A367D" w:rsidRPr="009E53F2" w:rsidRDefault="007A367D" w:rsidP="007A367D"/>
    <w:p w:rsidR="007A367D" w:rsidRPr="009E53F2" w:rsidRDefault="007A367D" w:rsidP="007A367D"/>
    <w:p w:rsidR="007A367D" w:rsidRPr="009E53F2" w:rsidRDefault="007A367D" w:rsidP="007A367D"/>
    <w:p w:rsidR="007A367D" w:rsidRPr="009E53F2" w:rsidRDefault="007A367D" w:rsidP="007A367D"/>
    <w:p w:rsidR="007A367D" w:rsidRPr="009E53F2" w:rsidRDefault="007A367D" w:rsidP="007A367D"/>
    <w:p w:rsidR="007A367D" w:rsidRDefault="007A367D" w:rsidP="007A367D">
      <w:r>
        <w:rPr>
          <w:noProof/>
        </w:rPr>
        <w:pict>
          <v:rect id="_x0000_s1039" style="position:absolute;margin-left:-15.3pt;margin-top:24.85pt;width:224.25pt;height:77.55pt;z-index:251666432" fillcolor="white [3201]" strokecolor="black [3200]" strokeweight="1pt">
            <v:stroke dashstyle="dash"/>
            <v:shadow color="#868686"/>
            <v:textbox style="mso-next-textbox:#_x0000_s1039">
              <w:txbxContent>
                <w:p w:rsidR="007A367D" w:rsidRPr="009E53F2" w:rsidRDefault="007A367D" w:rsidP="007A367D">
                  <w:pPr>
                    <w:jc w:val="center"/>
                    <w:rPr>
                      <w:i/>
                      <w:lang w:val="es-MX"/>
                    </w:rPr>
                  </w:pPr>
                  <w:r>
                    <w:rPr>
                      <w:i/>
                      <w:lang w:val="es-MX"/>
                    </w:rPr>
                    <w:t>La minga, costumbre ancestral basada en los principios más profundos de solidaridad del Ser Humano y estrategia de trabajo que permite  alcanzar logros impensados.</w:t>
                  </w:r>
                </w:p>
              </w:txbxContent>
            </v:textbox>
          </v:rect>
        </w:pict>
      </w:r>
    </w:p>
    <w:p w:rsidR="007A367D" w:rsidRPr="009E53F2" w:rsidRDefault="007A367D" w:rsidP="007A367D"/>
    <w:p w:rsidR="007A367D" w:rsidRDefault="007A367D">
      <w:pPr>
        <w:rPr>
          <w:lang w:val="es-MX"/>
        </w:rPr>
      </w:pPr>
    </w:p>
    <w:p w:rsidR="007A367D" w:rsidRDefault="007A367D" w:rsidP="007A367D">
      <w:pPr>
        <w:jc w:val="right"/>
      </w:pPr>
      <w:r>
        <w:rPr>
          <w:noProof/>
        </w:rPr>
        <w:lastRenderedPageBreak/>
        <w:pict>
          <v:roundrect id="_x0000_s1048" style="position:absolute;left:0;text-align:left;margin-left:-28.8pt;margin-top:.4pt;width:250.5pt;height:45.75pt;z-index:2516766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A367D" w:rsidRPr="002D06C1" w:rsidRDefault="007A367D" w:rsidP="007A367D">
                  <w:pPr>
                    <w:jc w:val="center"/>
                    <w:rPr>
                      <w:rFonts w:ascii="Harlow Solid Italic" w:hAnsi="Harlow Solid Italic"/>
                      <w:sz w:val="40"/>
                      <w:szCs w:val="40"/>
                      <w:lang w:val="es-MX"/>
                    </w:rPr>
                  </w:pPr>
                  <w:r w:rsidRPr="002D06C1">
                    <w:rPr>
                      <w:rFonts w:ascii="Harlow Solid Italic" w:hAnsi="Harlow Solid Italic"/>
                      <w:sz w:val="40"/>
                      <w:szCs w:val="40"/>
                      <w:lang w:val="es-MX"/>
                    </w:rPr>
                    <w:t>Estrategias para la Acción</w:t>
                  </w:r>
                </w:p>
              </w:txbxContent>
            </v:textbox>
          </v:roundrect>
        </w:pict>
      </w:r>
      <w:r>
        <w:rPr>
          <w:noProof/>
        </w:rPr>
        <w:drawing>
          <wp:inline distT="0" distB="0" distL="0" distR="0">
            <wp:extent cx="885825" cy="390525"/>
            <wp:effectExtent l="19050" t="0" r="9525" b="0"/>
            <wp:docPr id="11" name="Imagen 2" descr="Logo AVINA 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VINA hi-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3975" cy="428625"/>
            <wp:effectExtent l="19050" t="0" r="9525" b="0"/>
            <wp:docPr id="14" name="Imagen 3" descr="CARE%20transparente%20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RE%20transparente%20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7D" w:rsidRDefault="007A367D" w:rsidP="007A367D">
      <w:r>
        <w:rPr>
          <w:noProof/>
        </w:rPr>
        <w:pict>
          <v:rect id="_x0000_s1041" style="position:absolute;margin-left:226.2pt;margin-top:14.65pt;width:247.5pt;height:60pt;z-index:251669504" fillcolor="#f79646 [3209]" strokecolor="#f2f2f2 [3041]" strokeweight="3pt">
            <v:shadow on="t" type="perspective" color="#974706 [1609]" opacity=".5" offset="1pt" offset2="-1pt"/>
            <v:textbox style="mso-next-textbox:#_x0000_s1041">
              <w:txbxContent>
                <w:p w:rsidR="007A367D" w:rsidRPr="002044D5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 xml:space="preserve">1.- </w:t>
                  </w:r>
                  <w:r w:rsidRPr="002044D5">
                    <w:rPr>
                      <w:rFonts w:ascii="Arial Narrow" w:hAnsi="Arial Narrow"/>
                      <w:b/>
                      <w:i w:val="0"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>Fortalecimiento de Capacidades:</w:t>
                  </w:r>
                  <w:r w:rsidRPr="002044D5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CR"/>
                    </w:rPr>
                    <w:t>Busca mejorar las capacidades y funciones de los actores, sistemas de agua o grupos de interés involucrados para que amplíen  el acceso al agua en América Latina de forma sostenible, transparente e incluyente.</w:t>
                  </w:r>
                </w:p>
                <w:p w:rsidR="007A367D" w:rsidRPr="002044D5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MX"/>
                    </w:rPr>
                  </w:pPr>
                </w:p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En </w:t>
                  </w: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</w:p>
                <w:p w:rsidR="007A367D" w:rsidRPr="00EC7B09" w:rsidRDefault="007A367D" w:rsidP="007A367D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-28.8pt;margin-top:10.15pt;width:245.25pt;height:178.5pt;z-index:251668480" strokecolor="white [3212]">
            <v:textbox style="mso-next-textbox:#_x0000_s1040">
              <w:txbxContent>
                <w:p w:rsidR="007A367D" w:rsidRDefault="007A367D" w:rsidP="007A367D">
                  <w:r w:rsidRPr="002044D5">
                    <w:rPr>
                      <w:noProof/>
                    </w:rPr>
                    <w:drawing>
                      <wp:inline distT="0" distB="0" distL="0" distR="0">
                        <wp:extent cx="2924175" cy="1981200"/>
                        <wp:effectExtent l="19050" t="0" r="0" b="0"/>
                        <wp:docPr id="26" name="Objeto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8072437" cy="5089525"/>
                                  <a:chOff x="500063" y="1125538"/>
                                  <a:chExt cx="8072437" cy="5089525"/>
                                </a:xfrm>
                              </a:grpSpPr>
                              <a:sp>
                                <a:nvSpPr>
                                  <a:cNvPr id="6" name="Rectangle 5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286125" y="5300663"/>
                                    <a:ext cx="2500313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eaLnBrk="0" fontAlgn="auto" hangingPunct="0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s-PY">
                                          <a:solidFill>
                                            <a:schemeClr val="tx2"/>
                                          </a:solidFill>
                                        </a:rPr>
                                        <a:t>Asociatividad</a:t>
                                      </a:r>
                                      <a:endParaRPr lang="es-CR">
                                        <a:solidFill>
                                          <a:schemeClr val="tx2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7" name="Rectangle 7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00063" y="3143250"/>
                                    <a:ext cx="2286000" cy="86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eaLnBrk="0" fontAlgn="auto" hangingPunct="0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s-PY" dirty="0">
                                          <a:solidFill>
                                            <a:schemeClr val="tx2"/>
                                          </a:solidFill>
                                        </a:rPr>
                                        <a:t>Fortalecimiento de Capacidades</a:t>
                                      </a:r>
                                      <a:endParaRPr lang="es-CR" dirty="0">
                                        <a:solidFill>
                                          <a:schemeClr val="tx2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8" name="Rectangle 8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276600" y="1125538"/>
                                    <a:ext cx="2500313" cy="679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anchor="ctr">
                                      <a:spAutoFit/>
                                    </a:bodyPr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eaLnBrk="0" fontAlgn="auto" hangingPunct="0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s-PY">
                                          <a:solidFill>
                                            <a:schemeClr val="tx2"/>
                                          </a:solidFill>
                                        </a:rPr>
                                        <a:t>Mecanismos Financieros</a:t>
                                      </a:r>
                                      <a:endParaRPr lang="es-CR">
                                        <a:solidFill>
                                          <a:schemeClr val="tx2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9" name="Rectangle 9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6215063" y="3071813"/>
                                    <a:ext cx="2357437" cy="10080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 eaLnBrk="0" fontAlgn="auto" hangingPunct="0">
                                        <a:spcBef>
                                          <a:spcPts val="0"/>
                                        </a:spcBef>
                                        <a:spcAft>
                                          <a:spcPts val="0"/>
                                        </a:spcAft>
                                        <a:defRPr/>
                                      </a:pPr>
                                      <a:r>
                                        <a:rPr lang="es-PY" dirty="0">
                                          <a:solidFill>
                                            <a:schemeClr val="tx2"/>
                                          </a:solidFill>
                                        </a:rPr>
                                        <a:t>Incidencia en Políticas Públicas</a:t>
                                      </a:r>
                                      <a:endParaRPr lang="es-CR" dirty="0">
                                        <a:solidFill>
                                          <a:schemeClr val="tx2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2055" name="AutoShape 19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16200000" flipH="1">
                                    <a:off x="4336256" y="1878807"/>
                                    <a:ext cx="328613" cy="3429000"/>
                                  </a:xfrm>
                                  <a:prstGeom prst="upDownArrow">
                                    <a:avLst>
                                      <a:gd name="adj1" fmla="val 50000"/>
                                      <a:gd name="adj2" fmla="val 188695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eaVert" wrap="none"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eaLnBrk="0" hangingPunct="0"/>
                                      <a:endParaRPr lang="es-CR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056" name="AutoShape 19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10800000" flipH="1">
                                    <a:off x="4314825" y="1928813"/>
                                    <a:ext cx="328613" cy="3367087"/>
                                  </a:xfrm>
                                  <a:prstGeom prst="upDownArrow">
                                    <a:avLst>
                                      <a:gd name="adj1" fmla="val 50000"/>
                                      <a:gd name="adj2" fmla="val 202176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rot="10800000" vert="eaVert" wrap="none"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eaLnBrk="0" hangingPunct="0"/>
                                      <a:endParaRPr lang="es-CR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057" name="AutoShape 15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3001063">
                                    <a:off x="2083594" y="1370806"/>
                                    <a:ext cx="279400" cy="1830388"/>
                                  </a:xfrm>
                                  <a:prstGeom prst="upDownArrow">
                                    <a:avLst>
                                      <a:gd name="adj1" fmla="val 50000"/>
                                      <a:gd name="adj2" fmla="val 86590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rot="10800000" vert="eaVert" wrap="none"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eaLnBrk="0" hangingPunct="0"/>
                                      <a:endParaRPr lang="es-CR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058" name="Oval 22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492500" y="2928938"/>
                                    <a:ext cx="2016125" cy="1295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wrap="none"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endParaRPr lang="en-US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059" name="Text Box 23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3635375" y="3071813"/>
                                    <a:ext cx="1657350" cy="9540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algn="ctr">
                                        <a:spcBef>
                                          <a:spcPct val="50000"/>
                                        </a:spcBef>
                                      </a:pPr>
                                      <a:r>
                                        <a:rPr lang="es-MX" sz="1400" b="1">
                                          <a:solidFill>
                                            <a:srgbClr val="FFFF00"/>
                                          </a:solidFill>
                                          <a:latin typeface="Calibri" pitchFamily="34" charset="0"/>
                                        </a:rPr>
                                        <a:t>JAAPs: Organizaciones comunitarias con visión de servicio</a:t>
                                      </a:r>
                                      <a:endParaRPr lang="es-ES" sz="1400" b="1">
                                        <a:solidFill>
                                          <a:srgbClr val="FFFF00"/>
                                        </a:solidFill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060" name="AutoShape 15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7857659">
                                    <a:off x="6769100" y="1370013"/>
                                    <a:ext cx="279400" cy="1784350"/>
                                  </a:xfrm>
                                  <a:prstGeom prst="upDownArrow">
                                    <a:avLst>
                                      <a:gd name="adj1" fmla="val 50000"/>
                                      <a:gd name="adj2" fmla="val 86659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rot="10800000" vert="eaVert" wrap="none"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eaLnBrk="0" hangingPunct="0"/>
                                      <a:endParaRPr lang="es-CR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061" name="AutoShape 15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8395711">
                                    <a:off x="1941513" y="4121150"/>
                                    <a:ext cx="279400" cy="1830388"/>
                                  </a:xfrm>
                                  <a:prstGeom prst="upDownArrow">
                                    <a:avLst>
                                      <a:gd name="adj1" fmla="val 50000"/>
                                      <a:gd name="adj2" fmla="val 86590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rot="10800000" vert="eaVert" wrap="none"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eaLnBrk="0" hangingPunct="0"/>
                                      <a:endParaRPr lang="es-CR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062" name="AutoShape 15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3001063">
                                    <a:off x="6723857" y="4209256"/>
                                    <a:ext cx="279400" cy="1830387"/>
                                  </a:xfrm>
                                  <a:prstGeom prst="upDownArrow">
                                    <a:avLst>
                                      <a:gd name="adj1" fmla="val 50000"/>
                                      <a:gd name="adj2" fmla="val 86590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rot="10800000" vert="eaVert" wrap="none" anchor="ctr"/>
                                    <a:lstStyle>
                                      <a:defPPr>
                                        <a:defRPr lang="es-EC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pPr eaLnBrk="0" hangingPunct="0"/>
                                      <a:endParaRPr lang="es-CR">
                                        <a:latin typeface="Calibri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A367D" w:rsidRPr="00FA6883" w:rsidRDefault="007A367D" w:rsidP="007A367D"/>
    <w:p w:rsidR="007A367D" w:rsidRPr="00FA6883" w:rsidRDefault="007A367D" w:rsidP="007A367D"/>
    <w:p w:rsidR="007A367D" w:rsidRPr="00FA6883" w:rsidRDefault="007A367D" w:rsidP="007A367D">
      <w:r>
        <w:rPr>
          <w:noProof/>
        </w:rPr>
        <w:pict>
          <v:rect id="_x0000_s1045" style="position:absolute;margin-left:226.2pt;margin-top:2.8pt;width:247.5pt;height:74.25pt;z-index:251673600" fillcolor="#9bbb59 [3206]" strokecolor="#f2f2f2 [3041]" strokeweight="3pt">
            <v:shadow on="t" type="perspective" color="#4e6128 [1606]" opacity=".5" offset="1pt" offset2="-1pt"/>
            <v:textbox style="mso-next-textbox:#_x0000_s1045">
              <w:txbxContent>
                <w:p w:rsidR="007A367D" w:rsidRPr="002044D5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MX"/>
                    </w:rPr>
                  </w:pPr>
                  <w:r w:rsidRPr="001847B3">
                    <w:rPr>
                      <w:rFonts w:ascii="Arial Narrow" w:hAnsi="Arial Narrow"/>
                      <w:b/>
                      <w:i w:val="0"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 xml:space="preserve">2.- </w:t>
                  </w:r>
                  <w:proofErr w:type="spellStart"/>
                  <w:r w:rsidRPr="001847B3">
                    <w:rPr>
                      <w:rFonts w:ascii="Arial Narrow" w:hAnsi="Arial Narrow"/>
                      <w:b/>
                      <w:i w:val="0"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>Asociatividad</w:t>
                  </w:r>
                  <w:proofErr w:type="spellEnd"/>
                  <w:r w:rsidRPr="00EC7B09"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:</w:t>
                  </w:r>
                  <w:r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CR"/>
                    </w:rPr>
                    <w:t>P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CR"/>
                    </w:rPr>
                    <w:t xml:space="preserve">romueve en las </w:t>
                  </w:r>
                  <w:proofErr w:type="spellStart"/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CR"/>
                    </w:rPr>
                    <w:t>JAAPs</w:t>
                  </w:r>
                  <w:proofErr w:type="spellEnd"/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CR"/>
                    </w:rPr>
                    <w:t xml:space="preserve"> un mejor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ES"/>
                    </w:rPr>
                    <w:t xml:space="preserve"> conocimiento de la realidad del sector,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ES"/>
                    </w:rPr>
                    <w:t>el acercamiento entre estas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ES"/>
                    </w:rPr>
                    <w:t xml:space="preserve"> para aprender de las experiencias y prácticas en torno a la gest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ES"/>
                    </w:rPr>
                    <w:t>ión de los sistemas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ES"/>
                    </w:rPr>
                    <w:t>, así como el fortalecimiento de sus</w:t>
                  </w:r>
                  <w:r w:rsidRPr="002044D5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ES"/>
                    </w:rPr>
                    <w:t xml:space="preserve"> 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ES"/>
                    </w:rPr>
                    <w:t>capacidades, la incidencia</w:t>
                  </w:r>
                  <w:r w:rsidRPr="002044D5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ES"/>
                    </w:rPr>
                    <w:t xml:space="preserve"> en 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ES"/>
                    </w:rPr>
                    <w:t>marcos legales y normativos, y el desarrollo de mecanismos financieros innovadores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ES"/>
                    </w:rPr>
                    <w:t>.</w:t>
                  </w:r>
                  <w:r w:rsidRPr="002044D5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ES"/>
                    </w:rPr>
                    <w:t xml:space="preserve"> </w:t>
                  </w:r>
                  <w:proofErr w:type="gramStart"/>
                  <w:r w:rsidRPr="002044D5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ES"/>
                    </w:rPr>
                    <w:t>comunitarios</w:t>
                  </w:r>
                  <w:proofErr w:type="gramEnd"/>
                  <w:r w:rsidRPr="002044D5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ES"/>
                    </w:rPr>
                    <w:t xml:space="preserve">) </w:t>
                  </w:r>
                </w:p>
                <w:p w:rsidR="007A367D" w:rsidRPr="002044D5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MX"/>
                    </w:rPr>
                  </w:pPr>
                </w:p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En </w:t>
                  </w: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</w:p>
                <w:p w:rsidR="007A367D" w:rsidRPr="00EC7B09" w:rsidRDefault="007A367D" w:rsidP="007A367D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</w:p>
    <w:p w:rsidR="007A367D" w:rsidRPr="00FA6883" w:rsidRDefault="007A367D" w:rsidP="007A367D"/>
    <w:p w:rsidR="007A367D" w:rsidRPr="00FA6883" w:rsidRDefault="007A367D" w:rsidP="007A367D"/>
    <w:p w:rsidR="007A367D" w:rsidRPr="00FA6883" w:rsidRDefault="007A367D" w:rsidP="007A367D">
      <w:r>
        <w:rPr>
          <w:noProof/>
        </w:rPr>
        <w:pict>
          <v:rect id="_x0000_s1047" style="position:absolute;margin-left:226.2pt;margin-top:7.5pt;width:247.5pt;height:62.25pt;z-index:251675648" fillcolor="#4f81bd [3204]" strokecolor="#f2f2f2 [3041]" strokeweight="3pt">
            <v:shadow on="t" type="perspective" color="#243f60 [1604]" opacity=".5" offset="1pt" offset2="-1pt"/>
            <v:textbox style="mso-next-textbox:#_x0000_s1047">
              <w:txbxContent>
                <w:p w:rsidR="007A367D" w:rsidRPr="002044D5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1847B3">
                    <w:rPr>
                      <w:rFonts w:ascii="Arial Narrow" w:hAnsi="Arial Narrow"/>
                      <w:b/>
                      <w:i w:val="0"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>3.- Incidencia en Políticas Públicas:</w:t>
                  </w:r>
                  <w:r w:rsidRPr="00EC7B09"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2044D5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CR"/>
                    </w:rPr>
                    <w:t>Propicia las condiciones para la creación, actualización y efectiva implementación de los marcos  normativos y regulatorios legales  para fortalecer el estado  de derecho al acceso al agua y los procesos de incidencia.</w:t>
                  </w:r>
                </w:p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En </w:t>
                  </w: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</w:p>
                <w:p w:rsidR="007A367D" w:rsidRPr="00EC7B09" w:rsidRDefault="007A367D" w:rsidP="007A367D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</w:p>
    <w:p w:rsidR="007A367D" w:rsidRPr="00FA6883" w:rsidRDefault="007A367D" w:rsidP="007A367D">
      <w:r>
        <w:rPr>
          <w:noProof/>
        </w:rPr>
        <w:pict>
          <v:rect id="_x0000_s1043" style="position:absolute;margin-left:-28.8pt;margin-top:6.05pt;width:250.5pt;height:112.5pt;z-index:251671552" fillcolor="white [3201]" strokecolor="black [3200]" strokeweight="1pt">
            <v:stroke dashstyle="dash"/>
            <v:shadow color="#868686"/>
            <v:textbox>
              <w:txbxContent>
                <w:p w:rsidR="007A367D" w:rsidRPr="009E53F2" w:rsidRDefault="007A367D" w:rsidP="007A367D">
                  <w:pPr>
                    <w:jc w:val="center"/>
                    <w:rPr>
                      <w:i/>
                      <w:lang w:val="es-MX"/>
                    </w:rPr>
                  </w:pPr>
                  <w:r>
                    <w:rPr>
                      <w:i/>
                      <w:lang w:val="es-MX"/>
                    </w:rPr>
                    <w:t>Según la ONU, n el mundo, millones de personas viven con menos de 11 litros diarios de agua, una de cada 3 personas carecen de acceso a saneamiento adecuado, una de cada cinco personas no tiene acceso a agua segura, un niño muere de una enfermedad relacionada con el agua cada 15 segundos ………</w:t>
                  </w:r>
                </w:p>
              </w:txbxContent>
            </v:textbox>
          </v:rect>
        </w:pict>
      </w:r>
    </w:p>
    <w:p w:rsidR="007A367D" w:rsidRPr="00FA6883" w:rsidRDefault="007A367D" w:rsidP="007A367D">
      <w:r>
        <w:rPr>
          <w:noProof/>
        </w:rPr>
        <w:pict>
          <v:rect id="_x0000_s1046" style="position:absolute;margin-left:226.95pt;margin-top:24.85pt;width:247.5pt;height:61.5pt;z-index:251674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6">
              <w:txbxContent>
                <w:p w:rsidR="007A367D" w:rsidRPr="002044D5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MX"/>
                    </w:rPr>
                  </w:pPr>
                  <w:r w:rsidRPr="001847B3">
                    <w:rPr>
                      <w:rFonts w:ascii="Arial Narrow" w:hAnsi="Arial Narrow"/>
                      <w:b/>
                      <w:i w:val="0"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>4.- Mecanismos Financieros Innovadores</w:t>
                  </w:r>
                  <w:r w:rsidRPr="00EC7B09"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:</w:t>
                  </w:r>
                  <w:r w:rsidRPr="00EC7B09"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2044D5">
                    <w:rPr>
                      <w:rFonts w:ascii="Arial Narrow" w:hAnsi="Arial Narrow"/>
                      <w:bCs/>
                      <w:color w:val="000000"/>
                      <w:sz w:val="20"/>
                      <w:szCs w:val="20"/>
                      <w:lang w:val="es-CR"/>
                    </w:rPr>
                    <w:t>B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CR"/>
                    </w:rPr>
                    <w:t>usca generar y fortalecer herramientas financieras, gestionando recursos para ampliar la cobertura del acceso al agua, favoreciendo la autogestión democrática y socialmente responsable del sector de las organizaciones</w:t>
                  </w:r>
                  <w:r w:rsidRPr="002044D5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s-CR"/>
                    </w:rPr>
                    <w:t xml:space="preserve"> </w:t>
                  </w:r>
                  <w:r w:rsidRPr="002044D5">
                    <w:rPr>
                      <w:rFonts w:ascii="Arial Narrow" w:hAnsi="Arial Narrow"/>
                      <w:color w:val="000000"/>
                      <w:sz w:val="20"/>
                      <w:szCs w:val="20"/>
                      <w:lang w:val="es-CR"/>
                    </w:rPr>
                    <w:t xml:space="preserve">comunitarias. </w:t>
                  </w:r>
                </w:p>
                <w:p w:rsidR="007A367D" w:rsidRPr="002044D5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MX"/>
                    </w:rPr>
                  </w:pPr>
                </w:p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En </w:t>
                  </w:r>
                </w:p>
                <w:p w:rsidR="007A367D" w:rsidRPr="00FA6883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.</w:t>
                  </w:r>
                </w:p>
                <w:p w:rsidR="007A367D" w:rsidRPr="00EC7B09" w:rsidRDefault="007A367D" w:rsidP="007A367D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</w:p>
    <w:p w:rsidR="007A367D" w:rsidRPr="00FA6883" w:rsidRDefault="007A367D" w:rsidP="007A367D"/>
    <w:p w:rsidR="007A367D" w:rsidRDefault="007A367D" w:rsidP="007A367D"/>
    <w:p w:rsidR="007A367D" w:rsidRDefault="007A367D" w:rsidP="007A367D">
      <w:pPr>
        <w:tabs>
          <w:tab w:val="left" w:pos="7860"/>
        </w:tabs>
      </w:pPr>
      <w:r>
        <w:rPr>
          <w:noProof/>
        </w:rPr>
        <w:pict>
          <v:rect id="_x0000_s1044" style="position:absolute;margin-left:-28.8pt;margin-top:19.75pt;width:250.5pt;height:266.2pt;z-index:251672576" fillcolor="#c2d69b [1942]" strokecolor="#9bbb59 [3206]" strokeweight="1pt">
            <v:fill color2="#9bbb59 [3206]" focusposition="1" focussize="" focus="50%" type="gradient"/>
            <v:shadow type="perspective" color="#4e6128 [1606]" offset="1pt" offset2="-3pt"/>
            <o:extrusion v:ext="view" backdepth="1in" viewpoint="-34.72222mm,34.72222mm" viewpointorigin="-.5,.5" skewangle="45" lightposition="-50000" lightposition2="50000" type="perspective"/>
            <v:textbox style="mso-next-textbox:#_x0000_s1044">
              <w:txbxContent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Los cambios que buscamos</w:t>
                  </w:r>
                  <w:r w:rsidRPr="00EC7B09"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:</w:t>
                  </w:r>
                  <w:r w:rsidRPr="00EC7B09"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  <w:p w:rsidR="007A367D" w:rsidRPr="0070161A" w:rsidRDefault="007A367D" w:rsidP="007A367D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0"/>
                      <w:lang w:val="es-EC"/>
                    </w:rPr>
                  </w:pPr>
                  <w:r>
                    <w:rPr>
                      <w:rFonts w:ascii="Arial" w:hAnsi="Arial" w:cs="Arial"/>
                      <w:sz w:val="20"/>
                      <w:lang w:val="es-PY"/>
                    </w:rPr>
                    <w:t>Que las Juntas de Agua sean  protagonistas reconocidos en la facilitación  del acceso al a</w:t>
                  </w:r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>gua y que las comunidades estén empoderadas para resolver otros desafíos de su desarrollo.</w:t>
                  </w:r>
                </w:p>
                <w:p w:rsidR="007A367D" w:rsidRPr="0070161A" w:rsidRDefault="007A367D" w:rsidP="007A367D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0"/>
                      <w:lang w:val="es-EC"/>
                    </w:rPr>
                  </w:pPr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 xml:space="preserve">Que se institucionalicen y sean sostenibles los mecanismos de fortalecimiento </w:t>
                  </w:r>
                  <w:r>
                    <w:rPr>
                      <w:rFonts w:ascii="Arial" w:hAnsi="Arial" w:cs="Arial"/>
                      <w:sz w:val="20"/>
                      <w:lang w:val="es-PY"/>
                    </w:rPr>
                    <w:t xml:space="preserve">de capacidades </w:t>
                  </w:r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 xml:space="preserve">para las </w:t>
                  </w:r>
                  <w:proofErr w:type="spellStart"/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>JAAPs</w:t>
                  </w:r>
                  <w:proofErr w:type="spellEnd"/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 xml:space="preserve">: financiamiento, </w:t>
                  </w:r>
                  <w:proofErr w:type="spellStart"/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>asociatividad</w:t>
                  </w:r>
                  <w:proofErr w:type="spellEnd"/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 xml:space="preserve">, desarrollo de capacidades, legislación. </w:t>
                  </w:r>
                </w:p>
                <w:p w:rsidR="007A367D" w:rsidRPr="0070161A" w:rsidRDefault="007A367D" w:rsidP="007A367D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0"/>
                      <w:lang w:val="es-EC"/>
                    </w:rPr>
                  </w:pPr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>Que se haga efectivo el Acc</w:t>
                  </w:r>
                  <w:r>
                    <w:rPr>
                      <w:rFonts w:ascii="Arial" w:hAnsi="Arial" w:cs="Arial"/>
                      <w:sz w:val="20"/>
                      <w:lang w:val="es-PY"/>
                    </w:rPr>
                    <w:t xml:space="preserve">eso al Agua como Derecho Humano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s-PY"/>
                    </w:rPr>
                    <w:t>Fundametal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s-PY"/>
                    </w:rPr>
                    <w:t>.</w:t>
                  </w:r>
                </w:p>
                <w:p w:rsidR="007A367D" w:rsidRPr="0070161A" w:rsidRDefault="007A367D" w:rsidP="007A367D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0"/>
                      <w:lang w:val="es-EC"/>
                    </w:rPr>
                  </w:pPr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>Que se produzca la articulación nacional  de las Asociaciones de Juntas Administradoras de Agua Potable que gestionan agua.</w:t>
                  </w:r>
                </w:p>
                <w:p w:rsidR="007A367D" w:rsidRPr="0070161A" w:rsidRDefault="007A367D" w:rsidP="007A367D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0"/>
                      <w:lang w:val="es-EC"/>
                    </w:rPr>
                  </w:pPr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>Que las Juntas Administradoras de Agua Potable tengan una visión integral, sean ambientalmente  responsables y contribuyan efectivamente a la adaptación al cambio climático a nivel nacional.</w:t>
                  </w:r>
                </w:p>
                <w:p w:rsidR="007A367D" w:rsidRPr="0070161A" w:rsidRDefault="007A367D" w:rsidP="007A367D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sz w:val="20"/>
                      <w:lang w:val="es-EC"/>
                    </w:rPr>
                  </w:pPr>
                  <w:r w:rsidRPr="0070161A">
                    <w:rPr>
                      <w:rFonts w:ascii="Arial" w:hAnsi="Arial" w:cs="Arial"/>
                      <w:sz w:val="20"/>
                      <w:lang w:val="es-PY"/>
                    </w:rPr>
                    <w:t>Que las miles de Juntas Administradoras de Agua Potable se conviertan en pilares de la futura democracia del agua y los recursos naturales en el Ecuador.</w:t>
                  </w:r>
                </w:p>
                <w:p w:rsidR="007A367D" w:rsidRPr="0070161A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C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26.2pt;margin-top:20.5pt;width:249.75pt;height:316.5pt;z-index:251670528" fillcolor="#d99594 [1941]" strokecolor="#d99594 [1941]" strokeweight="1pt">
            <v:fill color2="#f2dbdb [661]" angle="-45" focusposition="1" focussize="" focus="-50%" type="gradient"/>
            <v:shadow type="perspective" color="#622423 [1605]" opacity=".5" offset="1pt" offset2="-3pt"/>
            <o:extrusion v:ext="view" backdepth="1in" viewpoint="-34.72222mm,34.72222mm" viewpointorigin="-.5,.5" skewangle="45" lightposition="-50000" lightposition2="50000" type="perspective"/>
            <v:textbox style="mso-next-textbox:#_x0000_s1042">
              <w:txbxContent>
                <w:p w:rsidR="007A367D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Que hemos logrado hasta ahora</w:t>
                  </w:r>
                  <w:r w:rsidRPr="00EC7B09"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:</w:t>
                  </w:r>
                  <w:r w:rsidRPr="00EC7B09"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  <w:p w:rsidR="007A367D" w:rsidRPr="0070161A" w:rsidRDefault="007A367D" w:rsidP="007A367D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037"/>
                      <w:tab w:val="num" w:pos="284"/>
                    </w:tabs>
                    <w:ind w:left="284" w:hanging="284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>Conocer y convocar a importantes organizaciones de juntas de agua potable en el país para analizar la problemática de este sector y generar alternativas viables para mejorar su impacto</w:t>
                  </w:r>
                </w:p>
                <w:p w:rsidR="007A367D" w:rsidRPr="0070161A" w:rsidRDefault="007A367D" w:rsidP="007A367D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037"/>
                      <w:tab w:val="num" w:pos="284"/>
                    </w:tabs>
                    <w:ind w:left="284" w:hanging="284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>Coordinar con gobiernos locales del sur del país para generar programas de apoyo al sector comunitario del agua</w:t>
                  </w:r>
                </w:p>
                <w:p w:rsidR="007A367D" w:rsidRPr="0070161A" w:rsidRDefault="007A367D" w:rsidP="007A367D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037"/>
                      <w:tab w:val="num" w:pos="284"/>
                    </w:tabs>
                    <w:ind w:left="284" w:hanging="284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 xml:space="preserve">Impulsar programas de fortalecimiento de capacidades de las </w:t>
                  </w:r>
                  <w:proofErr w:type="spellStart"/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>JAAPs</w:t>
                  </w:r>
                  <w:proofErr w:type="spellEnd"/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 xml:space="preserve"> en alianzas con la Universidad de Cuenca y CAMAREN</w:t>
                  </w:r>
                </w:p>
                <w:p w:rsidR="007A367D" w:rsidRPr="0070161A" w:rsidRDefault="007A367D" w:rsidP="007A367D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037"/>
                      <w:tab w:val="num" w:pos="284"/>
                    </w:tabs>
                    <w:ind w:left="284" w:hanging="284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>Realizar y apoyar el desarrollo de encuentros, seminarios y talleres en torno a Gobernabilidad Democrática y Gestión Comunitaria del Agua.</w:t>
                  </w:r>
                </w:p>
                <w:p w:rsidR="007A367D" w:rsidRPr="0070161A" w:rsidRDefault="007A367D" w:rsidP="007A367D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037"/>
                      <w:tab w:val="num" w:pos="284"/>
                    </w:tabs>
                    <w:ind w:left="284" w:hanging="284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>Apoyar la generación y fortalecimiento de pre-asociaciones y asociaciones de Juntas Administradoras de Agua Potable en los niveles cantonales, provinciales y nacionales.</w:t>
                  </w:r>
                </w:p>
                <w:p w:rsidR="007A367D" w:rsidRPr="0070161A" w:rsidRDefault="007A367D" w:rsidP="007A367D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037"/>
                      <w:tab w:val="num" w:pos="284"/>
                    </w:tabs>
                    <w:ind w:left="284" w:hanging="284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 xml:space="preserve">Identificar diversos modelos de </w:t>
                  </w:r>
                  <w:proofErr w:type="spellStart"/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>asociatividad</w:t>
                  </w:r>
                  <w:proofErr w:type="spellEnd"/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 xml:space="preserve"> y promover el intercambio de experiencias entre sectores públicos, privados, público/comunitario y comunitarios en la gestión del agua potable.</w:t>
                  </w:r>
                </w:p>
                <w:p w:rsidR="007A367D" w:rsidRPr="0070161A" w:rsidRDefault="007A367D" w:rsidP="007A367D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037"/>
                      <w:tab w:val="num" w:pos="284"/>
                    </w:tabs>
                    <w:ind w:left="284" w:hanging="284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>Desarrollar alianzas interinstitucionales para fortalecer el apoyo a este sector</w:t>
                  </w:r>
                </w:p>
                <w:p w:rsidR="007A367D" w:rsidRPr="0070161A" w:rsidRDefault="007A367D" w:rsidP="007A367D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clear" w:pos="1037"/>
                      <w:tab w:val="num" w:pos="284"/>
                    </w:tabs>
                    <w:ind w:left="284" w:hanging="284"/>
                    <w:rPr>
                      <w:rFonts w:ascii="Arial Narrow" w:hAnsi="Arial Narrow" w:cs="Arial"/>
                      <w:sz w:val="20"/>
                      <w:szCs w:val="22"/>
                    </w:rPr>
                  </w:pPr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 xml:space="preserve">Articular y vincular la experiencia local y nacional con procesos similares de </w:t>
                  </w:r>
                  <w:proofErr w:type="spellStart"/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>asociatividad</w:t>
                  </w:r>
                  <w:proofErr w:type="spellEnd"/>
                  <w:r w:rsidRPr="0070161A">
                    <w:rPr>
                      <w:rFonts w:ascii="Arial Narrow" w:hAnsi="Arial Narrow" w:cs="Arial"/>
                      <w:sz w:val="20"/>
                      <w:szCs w:val="22"/>
                    </w:rPr>
                    <w:t xml:space="preserve"> y gestión comunitaria en Latinoamérica.</w:t>
                  </w:r>
                </w:p>
                <w:p w:rsidR="007A367D" w:rsidRPr="0070161A" w:rsidRDefault="007A367D" w:rsidP="007A367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MX"/>
                    </w:rPr>
                  </w:pPr>
                </w:p>
              </w:txbxContent>
            </v:textbox>
          </v:rect>
        </w:pict>
      </w:r>
      <w:r>
        <w:tab/>
      </w:r>
    </w:p>
    <w:p w:rsidR="007A367D" w:rsidRDefault="007A367D" w:rsidP="007A367D"/>
    <w:p w:rsidR="007A367D" w:rsidRDefault="007A367D" w:rsidP="007A367D"/>
    <w:p w:rsidR="007A367D" w:rsidRDefault="007A367D" w:rsidP="007A367D"/>
    <w:p w:rsidR="007A367D" w:rsidRDefault="007A367D" w:rsidP="007A367D"/>
    <w:p w:rsidR="007A367D" w:rsidRPr="009E53F2" w:rsidRDefault="007A367D" w:rsidP="007A367D"/>
    <w:p w:rsidR="007A367D" w:rsidRPr="009E53F2" w:rsidRDefault="007A367D" w:rsidP="007A367D"/>
    <w:p w:rsidR="007A367D" w:rsidRPr="009E53F2" w:rsidRDefault="007A367D" w:rsidP="007A367D"/>
    <w:p w:rsidR="007A367D" w:rsidRPr="009E53F2" w:rsidRDefault="007A367D" w:rsidP="007A367D"/>
    <w:p w:rsidR="007A367D" w:rsidRPr="009E53F2" w:rsidRDefault="007A367D" w:rsidP="007A367D"/>
    <w:p w:rsidR="007A367D" w:rsidRDefault="007A367D" w:rsidP="007A367D"/>
    <w:p w:rsidR="007A367D" w:rsidRPr="009E53F2" w:rsidRDefault="007A367D" w:rsidP="007A367D">
      <w:r>
        <w:rPr>
          <w:noProof/>
        </w:rPr>
        <w:pict>
          <v:rect id="_x0000_s1049" style="position:absolute;margin-left:-28.8pt;margin-top:9.85pt;width:250.5pt;height:43.8pt;z-index:251677696" fillcolor="white [3201]" strokecolor="black [3200]" strokeweight="1pt">
            <v:stroke dashstyle="dash"/>
            <v:shadow color="#868686"/>
            <v:textbox>
              <w:txbxContent>
                <w:p w:rsidR="007A367D" w:rsidRPr="0028347F" w:rsidRDefault="007A367D" w:rsidP="007A367D">
                  <w:pPr>
                    <w:jc w:val="center"/>
                    <w:rPr>
                      <w:i/>
                      <w:sz w:val="20"/>
                      <w:szCs w:val="20"/>
                      <w:lang w:val="es-MX"/>
                    </w:rPr>
                  </w:pPr>
                  <w:r w:rsidRPr="0028347F">
                    <w:rPr>
                      <w:i/>
                      <w:sz w:val="20"/>
                      <w:szCs w:val="20"/>
                      <w:lang w:val="es-MX"/>
                    </w:rPr>
                    <w:t>Es tiempo de darle al agua una segunda oportunidad, usa menos, ahorra más, cuida siempre.</w:t>
                  </w:r>
                </w:p>
              </w:txbxContent>
            </v:textbox>
          </v:rect>
        </w:pict>
      </w:r>
    </w:p>
    <w:sectPr w:rsidR="007A367D" w:rsidRPr="009E53F2" w:rsidSect="00BC6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6A" w:rsidRDefault="00B67D6A" w:rsidP="007A367D">
      <w:pPr>
        <w:spacing w:after="0" w:line="240" w:lineRule="auto"/>
      </w:pPr>
      <w:r>
        <w:separator/>
      </w:r>
    </w:p>
  </w:endnote>
  <w:endnote w:type="continuationSeparator" w:id="0">
    <w:p w:rsidR="00B67D6A" w:rsidRDefault="00B67D6A" w:rsidP="007A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6A" w:rsidRDefault="00B67D6A" w:rsidP="007A367D">
      <w:pPr>
        <w:spacing w:after="0" w:line="240" w:lineRule="auto"/>
      </w:pPr>
      <w:r>
        <w:separator/>
      </w:r>
    </w:p>
  </w:footnote>
  <w:footnote w:type="continuationSeparator" w:id="0">
    <w:p w:rsidR="00B67D6A" w:rsidRDefault="00B67D6A" w:rsidP="007A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498"/>
    <w:multiLevelType w:val="hybridMultilevel"/>
    <w:tmpl w:val="2FD8F056"/>
    <w:lvl w:ilvl="0" w:tplc="040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D7090"/>
    <w:multiLevelType w:val="hybridMultilevel"/>
    <w:tmpl w:val="35A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7D"/>
    <w:rsid w:val="007A367D"/>
    <w:rsid w:val="00B67D6A"/>
    <w:rsid w:val="00BC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7D"/>
  </w:style>
  <w:style w:type="paragraph" w:styleId="Ttulo6">
    <w:name w:val="heading 6"/>
    <w:basedOn w:val="Normal"/>
    <w:next w:val="Normal"/>
    <w:link w:val="Ttulo6Car"/>
    <w:qFormat/>
    <w:rsid w:val="007A367D"/>
    <w:pPr>
      <w:keepNext/>
      <w:widowControl w:val="0"/>
      <w:tabs>
        <w:tab w:val="left" w:pos="1080"/>
        <w:tab w:val="left" w:pos="1560"/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  <w:tab w:val="left" w:pos="8160"/>
        <w:tab w:val="left" w:pos="8760"/>
        <w:tab w:val="left" w:pos="9360"/>
      </w:tabs>
      <w:autoSpaceDE w:val="0"/>
      <w:autoSpaceDN w:val="0"/>
      <w:adjustRightInd w:val="0"/>
      <w:spacing w:after="0" w:line="226" w:lineRule="auto"/>
      <w:jc w:val="both"/>
      <w:outlineLvl w:val="5"/>
    </w:pPr>
    <w:rPr>
      <w:rFonts w:ascii="Times New Roman" w:eastAsia="Times New Roman" w:hAnsi="Times New Roman" w:cs="Times New Roman"/>
      <w:i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7A367D"/>
    <w:rPr>
      <w:rFonts w:ascii="Times New Roman" w:eastAsia="Times New Roman" w:hAnsi="Times New Roman" w:cs="Times New Roman"/>
      <w:i/>
      <w:sz w:val="1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6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367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A367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367D"/>
    <w:rPr>
      <w:rFonts w:ascii="Tahoma" w:eastAsia="Times New Roman" w:hAnsi="Tahoma" w:cs="Times New Roman"/>
      <w:sz w:val="24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61</Characters>
  <Application>Microsoft Office Word</Application>
  <DocSecurity>0</DocSecurity>
  <Lines>1</Lines>
  <Paragraphs>1</Paragraphs>
  <ScaleCrop>false</ScaleCrop>
  <Company>CARE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Carrasco</dc:creator>
  <cp:keywords/>
  <dc:description/>
  <cp:lastModifiedBy>Pedro Carrasco</cp:lastModifiedBy>
  <cp:revision>1</cp:revision>
  <dcterms:created xsi:type="dcterms:W3CDTF">2012-01-30T13:59:00Z</dcterms:created>
  <dcterms:modified xsi:type="dcterms:W3CDTF">2012-01-30T14:01:00Z</dcterms:modified>
</cp:coreProperties>
</file>